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D5" w:rsidRDefault="00DE39D5" w:rsidP="00DE39D5">
      <w:pPr>
        <w:spacing w:line="360" w:lineRule="auto"/>
        <w:ind w:firstLine="643"/>
        <w:jc w:val="center"/>
        <w:rPr>
          <w:rFonts w:ascii="黑体" w:eastAsia="黑体" w:hAnsi="宋体"/>
          <w:b/>
          <w:bCs/>
          <w:sz w:val="32"/>
          <w:szCs w:val="32"/>
          <w:u w:val="double"/>
        </w:rPr>
      </w:pP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员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大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议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记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录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 </w:t>
      </w:r>
    </w:p>
    <w:p w:rsidR="00DE39D5" w:rsidRDefault="00DE39D5" w:rsidP="00DE39D5">
      <w:pPr>
        <w:jc w:val="center"/>
        <w:rPr>
          <w:rFonts w:ascii="黑体" w:eastAsia="黑体" w:hAnsi="宋体" w:hint="eastAsia"/>
          <w:b/>
          <w:bCs/>
          <w:u w:val="double"/>
        </w:rPr>
      </w:pPr>
    </w:p>
    <w:tbl>
      <w:tblPr>
        <w:tblW w:w="0" w:type="auto"/>
        <w:tblLayout w:type="fixed"/>
        <w:tblLook w:val="0000"/>
      </w:tblPr>
      <w:tblGrid>
        <w:gridCol w:w="1064"/>
        <w:gridCol w:w="1440"/>
        <w:gridCol w:w="991"/>
        <w:gridCol w:w="1709"/>
        <w:gridCol w:w="1150"/>
        <w:gridCol w:w="1185"/>
        <w:gridCol w:w="1209"/>
      </w:tblGrid>
      <w:tr w:rsidR="00DE39D5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2017-7-14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大会议室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  霞</w:t>
            </w:r>
          </w:p>
        </w:tc>
      </w:tr>
      <w:tr w:rsidR="00DE39D5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 容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before="100" w:beforeAutospacing="1" w:after="100" w:afterAutospacing="1"/>
              <w:outlineLvl w:val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学习廖俊波先进事迹 </w:t>
            </w:r>
            <w:r>
              <w:rPr>
                <w:rFonts w:ascii="宋体" w:hAnsi="宋体"/>
                <w:sz w:val="24"/>
              </w:rPr>
              <w:t>践行“两学一做”精神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张伟明</w:t>
            </w:r>
          </w:p>
        </w:tc>
      </w:tr>
      <w:tr w:rsidR="00DE39D5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 席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全体党员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 席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DE39D5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列席者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D5" w:rsidRDefault="00DE39D5" w:rsidP="00BF1B5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DE39D5" w:rsidTr="00BF1B57">
        <w:trPr>
          <w:trHeight w:val="4524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5" w:rsidRDefault="00DE39D5" w:rsidP="00BF1B57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学习内容记录：                                                             </w:t>
            </w:r>
          </w:p>
          <w:p w:rsidR="00DE39D5" w:rsidRDefault="00DE39D5" w:rsidP="00BF1B57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 w:hint="eastAsia"/>
                <w:kern w:val="2"/>
                <w:u w:val="single"/>
              </w:rPr>
              <w:t xml:space="preserve">     一</w:t>
            </w:r>
            <w:r>
              <w:rPr>
                <w:rFonts w:cs="Times New Roman"/>
                <w:kern w:val="2"/>
                <w:u w:val="single"/>
              </w:rPr>
              <w:t>场突如其来的车祸，把党的好干部、人民的好儿子、49岁的全国优秀县委书记廖俊波，就这样无情地带走了。斯人已去，精神永存，希望广大党员干部，见贤思齐，学习廖俊波同志，争做人民好公仆。</w:t>
            </w:r>
            <w:r>
              <w:rPr>
                <w:rFonts w:cs="Times New Roman" w:hint="eastAsia"/>
                <w:kern w:val="2"/>
                <w:u w:val="single"/>
              </w:rPr>
              <w:t xml:space="preserve">                                 </w:t>
            </w:r>
          </w:p>
          <w:p w:rsidR="00DE39D5" w:rsidRDefault="00DE39D5" w:rsidP="00BF1B57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/>
                <w:kern w:val="2"/>
                <w:u w:val="single"/>
              </w:rPr>
              <w:t xml:space="preserve">　　争做“勤政为民”的好公仆。政和，原是福建为数不多的贫困县。2011年6月，廖俊波走马上任县委书记，主动带头，扑下身去，为了工作，常常夜以继日;为了发展，常常废寝忘食;为了政和百姓，常与群众促膝长谈，共商发展大计……天道酬勤，不久，政和便“政通人和，百废俱兴”，2012年经济发展指数提升35位，2013年经济发展进入福建十佳。党员干部要向廖俊波学习，勤政为民，主动作为，勤于作为，做到为官有为，而且大有作为，造福一方百姓。</w:t>
            </w:r>
            <w:r>
              <w:rPr>
                <w:rFonts w:cs="Times New Roman" w:hint="eastAsia"/>
                <w:kern w:val="2"/>
                <w:u w:val="single"/>
              </w:rPr>
              <w:t xml:space="preserve">                </w:t>
            </w:r>
          </w:p>
          <w:p w:rsidR="00DE39D5" w:rsidRDefault="00DE39D5" w:rsidP="00BF1B57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/>
                <w:kern w:val="2"/>
                <w:u w:val="single"/>
              </w:rPr>
              <w:t xml:space="preserve">　　争做“勇于担当”的好公仆。政和地处山区，发展长期滞后。上任伊始，廖俊波敢于担当，肩负重任，砥砺前行，翻过一山又一山，快马加鞭未下鞍。集思广益，绘就发展蓝图;披挂上阵，大力提升传统产业，催生新兴产业，发展电商产业。大刀阔斧，率先推行项目并审联批制度，分类推进精准扶贫，开展小额扶贫贷款试点……短短4年，政和山乡巨变，人民安居乐业。党员干部要向廖俊波学习，勇于担当，真抓实干，敢于创新，深化改革，发展一方经济。</w:t>
            </w:r>
            <w:r>
              <w:rPr>
                <w:rFonts w:cs="Times New Roman" w:hint="eastAsia"/>
                <w:kern w:val="2"/>
                <w:u w:val="single"/>
              </w:rPr>
              <w:t xml:space="preserve">                           </w:t>
            </w:r>
          </w:p>
          <w:p w:rsidR="00DE39D5" w:rsidRDefault="00DE39D5" w:rsidP="00BF1B57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/>
                <w:kern w:val="2"/>
                <w:u w:val="single"/>
              </w:rPr>
              <w:t xml:space="preserve">　　争做“清正廉明”的好公仆。“风清气正方能政通人和”，廖俊波始终廉洁自律、敬畏权力、忠诚事业，肝胆干事，干净做人，谨慎用权，经常</w:t>
            </w:r>
            <w:hyperlink r:id="rId6" w:tgtFrame="_blank" w:history="1">
              <w:r>
                <w:rPr>
                  <w:rFonts w:cs="Times New Roman"/>
                  <w:kern w:val="2"/>
                  <w:u w:val="single"/>
                </w:rPr>
                <w:t>教育</w:t>
              </w:r>
            </w:hyperlink>
            <w:r>
              <w:rPr>
                <w:rFonts w:cs="Times New Roman"/>
                <w:kern w:val="2"/>
                <w:u w:val="single"/>
              </w:rPr>
              <w:t>干部，坚持以身作则，以实际行动感染大家。4年来，政和县既在经济发展上脱了贫，还在</w:t>
            </w:r>
            <w:hyperlink r:id="rId7" w:tgtFrame="_blank" w:history="1">
              <w:r>
                <w:rPr>
                  <w:rFonts w:cs="Times New Roman"/>
                  <w:kern w:val="2"/>
                  <w:u w:val="single"/>
                </w:rPr>
                <w:t>政治</w:t>
              </w:r>
            </w:hyperlink>
            <w:r>
              <w:rPr>
                <w:rFonts w:cs="Times New Roman"/>
                <w:kern w:val="2"/>
                <w:u w:val="single"/>
              </w:rPr>
              <w:t>生态上“解了困”，该县无一例党员领导干部严重违法犯罪案件。党员干部要向廖俊波学习，做到清正廉明，崇尚官德、纯洁党性、恪守清廉，自觉抵挡诱惑、斩断贪欲、拒绝腐蚀，留下清白在人间，弘扬一方正气。</w:t>
            </w:r>
            <w:r>
              <w:rPr>
                <w:rFonts w:cs="Times New Roman" w:hint="eastAsia"/>
                <w:kern w:val="2"/>
                <w:u w:val="single"/>
              </w:rPr>
              <w:t xml:space="preserve">                            </w:t>
            </w:r>
          </w:p>
          <w:p w:rsidR="00DE39D5" w:rsidRDefault="00DE39D5" w:rsidP="00BF1B57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/>
                <w:kern w:val="2"/>
                <w:u w:val="single"/>
              </w:rPr>
              <w:t xml:space="preserve">　　“有的人死了，他还活着。”廖俊波虽死犹生。党员干部都要见贤思齐，学习</w:t>
            </w:r>
            <w:r>
              <w:rPr>
                <w:rFonts w:cs="Times New Roman"/>
                <w:kern w:val="2"/>
                <w:u w:val="single"/>
              </w:rPr>
              <w:lastRenderedPageBreak/>
              <w:t>其先进事迹，学习其崇高品质，争做人民好公仆，以“勤政为民”换取“政通人和”，以“勇于担当”换取“安居乐业”，以“清正廉明”换取“风清气正”，在有限的生命里，体现无限的人生价值，绽放无穷的人性光辉。</w:t>
            </w:r>
            <w:r>
              <w:rPr>
                <w:rFonts w:cs="Times New Roman" w:hint="eastAsia"/>
                <w:kern w:val="2"/>
                <w:u w:val="single"/>
              </w:rPr>
              <w:t xml:space="preserve">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讨论内容记录：                                      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陈燕：廖俊波同志任职期间，牢记党的嘱托，尽心尽责，带领当地干部群众扑下身子、苦干实干，以实际行动体现了对党忠诚、心系群众、忘我工作、无私奉献的优秀品质，无愧于全国优秀县委书记的称号。广大党员、干部要向廖俊波同志学习，不忘初心、扎实工作、廉洁奉公，身体力行把党的方针政策落实到基层和群众中去，真心实意为人民造福。忠诚干净担当，这就是廖俊波同志，他的一生是为党和人民奋斗的一生，可以说他把他满腔的热血都投身在为群众做实事上来，他无愧于党，无愧于民，真正做到了心中有党、心中有民、心中有责、心中有戒，是我们每一位党员都应该学习的楷模。                                     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张伟明：以人为镜，可以明得失。廖俊波同志虽然离开了我们，他的一生就此戛然而止，但他却给我们留下了宝贵的精神财富，用行动和担当书写了为官从政的最美注解，用生命践行忠诚、干净、担当要求好干部。向廖俊波看齐，党员领导干部义不容辞、责无旁贷，当自觉行动跟进，聚焦对标，恪守为官从政之道，把为民装在心中，把务实迈在脚下，把清廉握在手上，不忘初心、砥砺前行。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张碧璐：对党忠诚方能俯仰无愧。入党25年来，廖俊波同志始终以党和人民的事业为最高追求，旗帜鲜明讲政治，无论是在乡镇、园区、县委，还是市里，他都牢记党性原则，严守政治纪律和政治规矩，用生命和行动诠释了对党的无比忠诚。廖俊波的一生，是党性光辉的一生，竖起的是一座党性修养丰碑。对标廖俊波，党员干部要时刻牢记党旗下的誓言，在党言党、在党忧党、在党为党，把爱党、忧党、兴党、护党落实到工作生活各个环节，敢于同形形色色违反党内政治生活原则和制度的现象作斗争，无愧于共产党人这个光荣称号。               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樊凤芳：敢于担当方为民心所向。工作27年来，廖俊波同志始终心系群众，以深入一线、敢于担当、功成不必在我的情怀，勤勉敬业、忘我工作，为群众做好事、办实事、解难事，向我们展示了一线总指挥的时代情怀。铁人、工作狂，三年多时间，政和县贫困人口减少了3万多人，脱贫率达69.1%，让我们见证了这位全国优秀县委书记勤政为民的责任担当。廖俊波的一生，是宗旨闪烁的一生，架起的是一</w:t>
            </w:r>
            <w:r>
              <w:rPr>
                <w:rFonts w:ascii="宋体" w:hAnsi="宋体" w:hint="eastAsia"/>
                <w:sz w:val="24"/>
                <w:u w:val="single"/>
              </w:rPr>
              <w:lastRenderedPageBreak/>
              <w:t xml:space="preserve">座与群众心连心的桥梁。对标廖俊波，党员干部要时刻牢记全心全意为人民服务的宗旨意识，脚步沾土、眼睛朝下，把群众呼声作为第一信号，把群众需要作为第一选择，把群众满意作为第一标准，在赢得群众口碑中唱响人民公仆心系群众主旋律。                                    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钱月红：风清气正方能政通人和。从政以来，廖俊波同志严格遵守党员领导干部廉洁自律规范，自觉把权力关进制度的笼子里，秉公用权、修身齐家，从不搞特殊，从不因公徇私，从不关亲顾友，用实际行动彰显了共产党人的高尚情操和先进本色。政和速度、政和质量，主政政和县四年，该县未发生党员领导干部严重违法犯罪案件，见证了廖俊波干净干事的自律清廉。廖俊波的一生，是两袖清风的一生，站立的是一座廉洁奉公、干净做事的坚强堡垒。对标廖俊波，党员干部要时刻把党纪国法铭记于心，守住底线、不越红线，坚守共产党人的精神高地，清清白白做人、干干净净做事、堂堂正正做官。                                             </w:t>
            </w:r>
          </w:p>
          <w:p w:rsidR="00DE39D5" w:rsidRDefault="00DE39D5" w:rsidP="00BF1B57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印霞：作为党员，要向廖俊波学习， </w:t>
            </w:r>
            <w:r>
              <w:rPr>
                <w:rFonts w:ascii="宋体" w:hAnsi="宋体"/>
                <w:sz w:val="24"/>
                <w:u w:val="single"/>
              </w:rPr>
              <w:t>践行“两学一做”精神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。一要对标见贤思齐，努力做到常学常思。学习廖俊波同志先进事迹，贵在潜移默化中转化成我们的生活方式、工作需要和价值追求，这就需要我们沉潜而学，常学常思，既不急于求成，也不消极应付，既不贪大喜功，也不作表面文章，细细咀嚼，慢慢体悟。二要突出六个基本，持续深化两学一做。以强化基本组织、基本队伍、基本制度、基本活动、基本阵地、基本保障六个基本为重点，坚持将制度约束贯穿始终，结合地税工作实际，对严肃认真开展组织生活、加强党员日常监督等方面作出硬性规定，把学习教育真正融入党员正常教育、日常管理之中，使学习教育成为一种习惯、一种自觉。三要注重严管善待，凝心聚力推进工作。坚持抓成长关爱、在学习上指导，抓思想关爱、从感情上融入，抓生活关爱、从帮扶上入手，抓精神关爱、从心态上引导，抓廉政关爱、从纪律上提醒等五个方面的关爱，把严管+善待的管理触角延伸到干部队伍的工作、生活、学习和思想各个方面，增强干部职工对事业的认同感、对单位的归属感、对同事的亲情感，让大家同频共振、和谐愉悦的做好工作。             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DE39D5" w:rsidRDefault="00DE39D5" w:rsidP="00BF1B57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</w:p>
        </w:tc>
      </w:tr>
    </w:tbl>
    <w:p w:rsidR="00914605" w:rsidRPr="00DE39D5" w:rsidRDefault="00914605"/>
    <w:sectPr w:rsidR="00914605" w:rsidRPr="00DE39D5" w:rsidSect="0091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FC" w:rsidRDefault="00322EFC" w:rsidP="00DE39D5">
      <w:r>
        <w:separator/>
      </w:r>
    </w:p>
  </w:endnote>
  <w:endnote w:type="continuationSeparator" w:id="0">
    <w:p w:rsidR="00322EFC" w:rsidRDefault="00322EFC" w:rsidP="00DE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FC" w:rsidRDefault="00322EFC" w:rsidP="00DE39D5">
      <w:r>
        <w:separator/>
      </w:r>
    </w:p>
  </w:footnote>
  <w:footnote w:type="continuationSeparator" w:id="0">
    <w:p w:rsidR="00322EFC" w:rsidRDefault="00322EFC" w:rsidP="00DE3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9D5"/>
    <w:rsid w:val="00322EFC"/>
    <w:rsid w:val="00914605"/>
    <w:rsid w:val="00D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9D5"/>
    <w:rPr>
      <w:sz w:val="18"/>
      <w:szCs w:val="18"/>
    </w:rPr>
  </w:style>
  <w:style w:type="paragraph" w:styleId="a5">
    <w:name w:val="Normal (Web)"/>
    <w:basedOn w:val="a"/>
    <w:rsid w:val="00DE3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uexila.com/xuexifangfa/zhengz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exila.com/news/jiaoy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2018-01-05T03:42:00Z</dcterms:created>
  <dcterms:modified xsi:type="dcterms:W3CDTF">2018-01-05T03:42:00Z</dcterms:modified>
</cp:coreProperties>
</file>